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Информация о результатах плановой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проверки муниципального бюджетного учреждения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культуры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«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Азовская централизованная клубная система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»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по вопросу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достоверности отчета об исполнении муниципального задания, проверка предоставления и (или) использования субсидий, предоставленных из бюджета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Азовского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 сельского поселения Северского района бюджетным учреждениям в соответствии с абзацем первым пункта 1 статьи 78.1 Бюджетного кодекса РФ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 за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2022-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2023 год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  <w:t xml:space="preserve">В соответствии с планом работы на 2024 год проведена плановая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камеральная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проверка муниципального бюджетного учреждения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культуры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«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Азовская централизованная клубная система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» (далее - МБУ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К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«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Азовская ЦКС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»)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по вопросу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достоверности отчета об исполнении муниципального задания, проверка предоставления и (или) использования субсидий, предоставленных из бюджета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>Азовского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ar-SA"/>
        </w:rPr>
        <w:t xml:space="preserve"> сельского поселения Северского района бюджетным учреждениям в соответствии с абзацем первым пункта 1 статьи 78.1 Бюджетного кодекса РФ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 xml:space="preserve">за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2022-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2023 год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ы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, по результатам которой выдан акт от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12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.0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8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.2024 года.</w:t>
      </w:r>
    </w:p>
    <w:p>
      <w:pPr>
        <w:pStyle w:val="Normal"/>
        <w:widowControl w:val="false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П</w:t>
      </w: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 xml:space="preserve">о итогам контрольного мероприятия установлены 43 нарушения на сумму 240097,17 рублей, в том числе 11 нарушений, допущенные учредителем МБУК «Азовская ЦКС» (администрацией Азовского сельского поселения): 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- 38 нарушений с финансово-бюджетной сфере  на сумму 189554,50 рублей, в том числе нарушений, допущенных учредителем — 11;</w:t>
      </w:r>
    </w:p>
    <w:p>
      <w:pPr>
        <w:pStyle w:val="Normal"/>
        <w:widowControl w:val="false"/>
        <w:shd w:fill="FFFFFF" w:val="clear"/>
        <w:suppressAutoHyphens w:val="true"/>
        <w:autoSpaceDE w:val="false"/>
        <w:spacing w:lineRule="auto" w:line="240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- 5 нарушений прочего характера на сумму 50542,67 рублей.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>
          <w:rStyle w:val="Style16"/>
          <w:rFonts w:ascii="Times New Roman" w:hAnsi="Times New Roman" w:eastAsia="SimSun;宋体" w:cs="Times New Roman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        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ab/>
        <w:t xml:space="preserve">По результатам контрольного мероприятия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 xml:space="preserve">директору </w:t>
      </w:r>
      <w:r>
        <w:rPr>
          <w:rStyle w:val="Style2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>МБУК «Азовская ЦКС»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выдано представление об устранении нарушений действующего законодательства в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финансово-бюджетной сфере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.</w:t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</w:pPr>
      <w:r>
        <w:rPr/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>
          <w:rStyle w:val="Style15"/>
          <w:rFonts w:ascii="Times New Roman" w:hAnsi="Times New Roman" w:eastAsia="Calibri" w:cs="Times New Roman"/>
          <w:b/>
          <w:b/>
          <w:bCs/>
          <w:color w:val="000000"/>
          <w:kern w:val="0"/>
          <w:sz w:val="56"/>
          <w:szCs w:val="56"/>
          <w:u w:val="none"/>
          <w:shd w:fill="auto" w:val="clear"/>
          <w:lang w:val="ru-RU" w:eastAsia="en-US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f0b54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Цветовое выделение для Текст"/>
    <w:qFormat/>
    <w:rPr/>
  </w:style>
  <w:style w:type="character" w:styleId="Copytarget">
    <w:name w:val="copy_target"/>
    <w:qFormat/>
    <w:rPr/>
  </w:style>
  <w:style w:type="character" w:styleId="Blk">
    <w:name w:val="blk"/>
    <w:qFormat/>
    <w:rPr/>
  </w:style>
  <w:style w:type="character" w:styleId="Style17">
    <w:name w:val="Гипертекстовая ссылка"/>
    <w:qFormat/>
    <w:rPr>
      <w:color w:val="106BBE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Style21">
    <w:name w:val="Цветовое выделение"/>
    <w:qFormat/>
    <w:rPr>
      <w:b/>
      <w:bCs/>
      <w:color w:val="26282F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0b54"/>
    <w:pPr>
      <w:suppressAutoHyphens w:val="false"/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Заголовок приложения"/>
    <w:basedOn w:val="Normal"/>
    <w:qFormat/>
    <w:pPr>
      <w:widowControl w:val="false"/>
      <w:spacing w:lineRule="exact" w:line="240" w:before="0" w:after="0"/>
      <w:jc w:val="right"/>
    </w:pPr>
    <w:rPr>
      <w:rFonts w:ascii="Arial" w:hAnsi="Arial" w:eastAsia="Arial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Style28">
    <w:name w:val="Текст выноски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Application>LibreOffice/7.1.4.2$Windows_X86_64 LibreOffice_project/a529a4fab45b75fefc5b6226684193eb000654f6</Application>
  <AppVersion>15.0000</AppVersion>
  <Pages>1</Pages>
  <Words>194</Words>
  <Characters>1397</Characters>
  <CharactersWithSpaces>1610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KUPCOVAEV@outlook.com</dc:creator>
  <dc:description/>
  <dc:language>ru-RU</dc:language>
  <cp:lastModifiedBy/>
  <cp:lastPrinted>2024-08-19T13:46:42Z</cp:lastPrinted>
  <dcterms:modified xsi:type="dcterms:W3CDTF">2024-08-19T13:53:30Z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